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C946AF" w14:textId="77777777" w:rsidR="00A23CB1" w:rsidRPr="002470C3" w:rsidRDefault="00A23CB1">
      <w:pPr>
        <w:ind w:left="5812" w:right="-1" w:firstLine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2470C3">
        <w:rPr>
          <w:rFonts w:ascii="Arial" w:hAnsi="Arial" w:cs="Arial"/>
          <w:b/>
          <w:bCs/>
          <w:color w:val="000000"/>
          <w:sz w:val="22"/>
          <w:szCs w:val="22"/>
        </w:rPr>
        <w:t xml:space="preserve">PROJEKT </w:t>
      </w:r>
    </w:p>
    <w:p w14:paraId="3AA98BD4" w14:textId="77777777" w:rsidR="00A23CB1" w:rsidRPr="002470C3" w:rsidRDefault="00A23CB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661F5B" w14:textId="77777777" w:rsidR="00A23CB1" w:rsidRPr="002470C3" w:rsidRDefault="00A23CB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CDA9A6" w14:textId="6506B2E7" w:rsidR="00A23CB1" w:rsidRPr="002470C3" w:rsidRDefault="00A23CB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F1F2A3" w14:textId="521F17CC" w:rsidR="00A23CB1" w:rsidRPr="002470C3" w:rsidRDefault="00A23CB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470C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2470C3">
        <w:rPr>
          <w:rFonts w:ascii="Arial" w:hAnsi="Arial" w:cs="Arial"/>
          <w:b/>
          <w:bCs/>
          <w:color w:val="000000"/>
          <w:sz w:val="22"/>
          <w:szCs w:val="22"/>
        </w:rPr>
        <w:t xml:space="preserve">Uchwała Nr </w:t>
      </w:r>
      <w:r w:rsidRPr="002470C3">
        <w:rPr>
          <w:rFonts w:ascii="Arial" w:hAnsi="Arial" w:cs="Arial"/>
          <w:bCs/>
          <w:color w:val="000000"/>
          <w:sz w:val="22"/>
          <w:szCs w:val="22"/>
        </w:rPr>
        <w:t>....................</w:t>
      </w:r>
    </w:p>
    <w:p w14:paraId="29F62CEF" w14:textId="2859BA5E" w:rsidR="00A23CB1" w:rsidRPr="002470C3" w:rsidRDefault="0037634D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470C3">
        <w:rPr>
          <w:rFonts w:ascii="Arial" w:hAnsi="Arial" w:cs="Arial"/>
          <w:b/>
          <w:bCs/>
          <w:color w:val="000000"/>
          <w:sz w:val="22"/>
          <w:szCs w:val="22"/>
        </w:rPr>
        <w:t xml:space="preserve">RADY </w:t>
      </w:r>
      <w:r w:rsidR="00CD69F9">
        <w:rPr>
          <w:rFonts w:ascii="Arial" w:hAnsi="Arial" w:cs="Arial"/>
          <w:b/>
          <w:bCs/>
          <w:color w:val="000000"/>
          <w:sz w:val="22"/>
          <w:szCs w:val="22"/>
        </w:rPr>
        <w:t xml:space="preserve">GMINY </w:t>
      </w:r>
      <w:r w:rsidR="00175AFB">
        <w:rPr>
          <w:rFonts w:ascii="Arial" w:hAnsi="Arial" w:cs="Arial"/>
          <w:b/>
          <w:bCs/>
          <w:color w:val="000000"/>
          <w:sz w:val="22"/>
          <w:szCs w:val="22"/>
        </w:rPr>
        <w:t>CZARN</w:t>
      </w:r>
      <w:r w:rsidR="00CD69F9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64269EDE" w14:textId="46E160FA" w:rsidR="00A23CB1" w:rsidRPr="00301B75" w:rsidRDefault="00A23CB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470C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</w:t>
      </w:r>
      <w:r w:rsidRPr="002470C3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37634D">
        <w:rPr>
          <w:rFonts w:ascii="Arial" w:hAnsi="Arial" w:cs="Arial"/>
          <w:b/>
          <w:color w:val="000000"/>
          <w:sz w:val="22"/>
          <w:szCs w:val="22"/>
        </w:rPr>
        <w:t>………….</w:t>
      </w:r>
      <w:r w:rsidR="009904D9" w:rsidRPr="001038F3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37634D">
        <w:rPr>
          <w:rFonts w:ascii="Arial" w:hAnsi="Arial" w:cs="Arial"/>
          <w:b/>
          <w:color w:val="000000"/>
          <w:sz w:val="22"/>
          <w:szCs w:val="22"/>
        </w:rPr>
        <w:t>4</w:t>
      </w:r>
      <w:r w:rsidR="00D75F12" w:rsidRPr="00301B75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14:paraId="38A9A6E1" w14:textId="1C3EE5D9" w:rsidR="00A23CB1" w:rsidRPr="002470C3" w:rsidRDefault="00A23CB1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C40B7D4" w14:textId="1A8A2212" w:rsidR="00A23CB1" w:rsidRPr="002470C3" w:rsidRDefault="00A23CB1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470C3">
        <w:rPr>
          <w:rFonts w:ascii="Arial" w:hAnsi="Arial" w:cs="Arial"/>
          <w:color w:val="000000"/>
          <w:sz w:val="22"/>
          <w:szCs w:val="22"/>
        </w:rPr>
        <w:t>w sprawi</w:t>
      </w:r>
      <w:r w:rsidR="00D75F12">
        <w:rPr>
          <w:rFonts w:ascii="Arial" w:hAnsi="Arial" w:cs="Arial"/>
          <w:color w:val="000000"/>
          <w:sz w:val="22"/>
          <w:szCs w:val="22"/>
        </w:rPr>
        <w:t>e przystąpienia do sporządzenia</w:t>
      </w:r>
      <w:r w:rsidR="00B66ED4">
        <w:rPr>
          <w:rFonts w:ascii="Arial" w:hAnsi="Arial" w:cs="Arial"/>
          <w:color w:val="000000"/>
          <w:sz w:val="22"/>
          <w:szCs w:val="22"/>
        </w:rPr>
        <w:t xml:space="preserve"> </w:t>
      </w:r>
      <w:r w:rsidR="0037634D">
        <w:rPr>
          <w:rFonts w:ascii="Arial" w:hAnsi="Arial" w:cs="Arial"/>
          <w:color w:val="000000"/>
          <w:sz w:val="22"/>
          <w:szCs w:val="22"/>
        </w:rPr>
        <w:t>planu ogólnego</w:t>
      </w:r>
      <w:r w:rsidRPr="002470C3">
        <w:rPr>
          <w:rFonts w:ascii="Arial" w:hAnsi="Arial" w:cs="Arial"/>
          <w:color w:val="000000"/>
          <w:sz w:val="22"/>
          <w:szCs w:val="22"/>
        </w:rPr>
        <w:t xml:space="preserve"> </w:t>
      </w:r>
      <w:r w:rsidR="0037634D">
        <w:rPr>
          <w:rFonts w:ascii="Arial" w:hAnsi="Arial" w:cs="Arial"/>
          <w:color w:val="000000"/>
          <w:sz w:val="22"/>
          <w:szCs w:val="22"/>
        </w:rPr>
        <w:t>g</w:t>
      </w:r>
      <w:r w:rsidRPr="002470C3">
        <w:rPr>
          <w:rFonts w:ascii="Arial" w:hAnsi="Arial" w:cs="Arial"/>
          <w:color w:val="000000"/>
          <w:sz w:val="22"/>
          <w:szCs w:val="22"/>
        </w:rPr>
        <w:t xml:space="preserve">miny </w:t>
      </w:r>
      <w:r w:rsidR="007253C2">
        <w:rPr>
          <w:rFonts w:ascii="Arial" w:hAnsi="Arial" w:cs="Arial"/>
          <w:color w:val="000000"/>
          <w:sz w:val="22"/>
          <w:szCs w:val="22"/>
        </w:rPr>
        <w:t>Czarna</w:t>
      </w:r>
    </w:p>
    <w:p w14:paraId="59D9471C" w14:textId="77777777" w:rsidR="00A23CB1" w:rsidRPr="002470C3" w:rsidRDefault="00A23CB1">
      <w:pPr>
        <w:pStyle w:val="Tekstpodstawowywcity1"/>
        <w:spacing w:line="360" w:lineRule="auto"/>
        <w:rPr>
          <w:rFonts w:ascii="Arial" w:hAnsi="Arial" w:cs="Arial"/>
        </w:rPr>
      </w:pPr>
    </w:p>
    <w:p w14:paraId="7F89EA30" w14:textId="467FFA67" w:rsidR="00A23CB1" w:rsidRPr="000C4738" w:rsidRDefault="00A23CB1">
      <w:pPr>
        <w:pStyle w:val="Tekstpodstawowywcity1"/>
        <w:spacing w:line="360" w:lineRule="auto"/>
        <w:rPr>
          <w:rFonts w:ascii="Arial" w:hAnsi="Arial" w:cs="Arial"/>
        </w:rPr>
      </w:pPr>
      <w:r w:rsidRPr="004F1488">
        <w:rPr>
          <w:rFonts w:ascii="Arial" w:hAnsi="Arial" w:cs="Arial"/>
          <w:color w:val="000000" w:themeColor="text1"/>
        </w:rPr>
        <w:t xml:space="preserve">Na podstawie art. </w:t>
      </w:r>
      <w:r w:rsidR="00D17EC8" w:rsidRPr="004F1488">
        <w:rPr>
          <w:rFonts w:ascii="Arial" w:hAnsi="Arial" w:cs="Arial"/>
          <w:color w:val="000000" w:themeColor="text1"/>
        </w:rPr>
        <w:t xml:space="preserve">18 ust. 2 pkt </w:t>
      </w:r>
      <w:r w:rsidRPr="004F1488">
        <w:rPr>
          <w:rFonts w:ascii="Arial" w:hAnsi="Arial" w:cs="Arial"/>
          <w:color w:val="000000" w:themeColor="text1"/>
        </w:rPr>
        <w:t>5 ustawy z dnia 8 marca 1990 r. o samorządzie gminnym (tekst jednolity Dz. U.</w:t>
      </w:r>
      <w:r w:rsidRPr="004F1488">
        <w:rPr>
          <w:rFonts w:ascii="Arial" w:hAnsi="Arial" w:cs="Arial"/>
          <w:b/>
          <w:bCs/>
          <w:color w:val="000000" w:themeColor="text1"/>
        </w:rPr>
        <w:t xml:space="preserve"> </w:t>
      </w:r>
      <w:r w:rsidRPr="004F1488">
        <w:rPr>
          <w:rFonts w:ascii="Arial" w:hAnsi="Arial" w:cs="Arial"/>
          <w:color w:val="000000" w:themeColor="text1"/>
        </w:rPr>
        <w:t>z 20</w:t>
      </w:r>
      <w:r w:rsidR="001038F3" w:rsidRPr="004F1488">
        <w:rPr>
          <w:rFonts w:ascii="Arial" w:hAnsi="Arial" w:cs="Arial"/>
          <w:color w:val="000000" w:themeColor="text1"/>
        </w:rPr>
        <w:t>2</w:t>
      </w:r>
      <w:r w:rsidR="002A4392">
        <w:rPr>
          <w:rFonts w:ascii="Arial" w:hAnsi="Arial" w:cs="Arial"/>
          <w:color w:val="000000" w:themeColor="text1"/>
        </w:rPr>
        <w:t>4</w:t>
      </w:r>
      <w:r w:rsidRPr="004F1488">
        <w:rPr>
          <w:rFonts w:ascii="Arial" w:hAnsi="Arial" w:cs="Arial"/>
          <w:color w:val="000000" w:themeColor="text1"/>
        </w:rPr>
        <w:t xml:space="preserve"> r., poz. </w:t>
      </w:r>
      <w:r w:rsidR="002A4392">
        <w:rPr>
          <w:rFonts w:ascii="Arial" w:hAnsi="Arial" w:cs="Arial"/>
          <w:color w:val="000000" w:themeColor="text1"/>
        </w:rPr>
        <w:t>609</w:t>
      </w:r>
      <w:r w:rsidR="0037634D" w:rsidRPr="004F148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37634D" w:rsidRPr="004F1488">
        <w:rPr>
          <w:rFonts w:ascii="Arial" w:hAnsi="Arial" w:cs="Arial"/>
          <w:color w:val="000000" w:themeColor="text1"/>
        </w:rPr>
        <w:t>późn</w:t>
      </w:r>
      <w:proofErr w:type="spellEnd"/>
      <w:r w:rsidR="0037634D" w:rsidRPr="004F1488">
        <w:rPr>
          <w:rFonts w:ascii="Arial" w:hAnsi="Arial" w:cs="Arial"/>
          <w:color w:val="000000" w:themeColor="text1"/>
        </w:rPr>
        <w:t>. zm.</w:t>
      </w:r>
      <w:r w:rsidRPr="004F1488">
        <w:rPr>
          <w:rFonts w:ascii="Arial" w:hAnsi="Arial" w:cs="Arial"/>
          <w:color w:val="000000" w:themeColor="text1"/>
        </w:rPr>
        <w:t>)</w:t>
      </w:r>
      <w:r w:rsidRPr="004F1488">
        <w:rPr>
          <w:rFonts w:ascii="Arial" w:hAnsi="Arial" w:cs="Arial"/>
          <w:color w:val="000000" w:themeColor="text1"/>
          <w:spacing w:val="-2"/>
        </w:rPr>
        <w:t xml:space="preserve"> i art. </w:t>
      </w:r>
      <w:r w:rsidR="0037634D" w:rsidRPr="004F1488">
        <w:rPr>
          <w:rFonts w:ascii="Arial" w:hAnsi="Arial" w:cs="Arial"/>
          <w:color w:val="000000" w:themeColor="text1"/>
          <w:spacing w:val="-2"/>
        </w:rPr>
        <w:t>13i</w:t>
      </w:r>
      <w:r w:rsidRPr="004F1488">
        <w:rPr>
          <w:rFonts w:ascii="Arial" w:hAnsi="Arial" w:cs="Arial"/>
          <w:color w:val="000000" w:themeColor="text1"/>
          <w:spacing w:val="-2"/>
        </w:rPr>
        <w:t xml:space="preserve"> </w:t>
      </w:r>
      <w:r w:rsidRPr="00974E1B">
        <w:rPr>
          <w:rFonts w:ascii="Arial" w:hAnsi="Arial" w:cs="Arial"/>
          <w:spacing w:val="-2"/>
        </w:rPr>
        <w:t>ust. 1</w:t>
      </w:r>
      <w:r w:rsidR="00B66ED4" w:rsidRPr="00974E1B">
        <w:rPr>
          <w:rFonts w:ascii="Arial" w:hAnsi="Arial" w:cs="Arial"/>
          <w:spacing w:val="-2"/>
        </w:rPr>
        <w:t xml:space="preserve"> </w:t>
      </w:r>
      <w:r w:rsidRPr="00974E1B">
        <w:rPr>
          <w:rFonts w:ascii="Arial" w:hAnsi="Arial" w:cs="Arial"/>
          <w:spacing w:val="-2"/>
        </w:rPr>
        <w:t>ustawy z dnia 27 marca 2003 r.</w:t>
      </w:r>
      <w:r w:rsidR="00E63A93">
        <w:rPr>
          <w:rFonts w:ascii="Arial" w:hAnsi="Arial" w:cs="Arial"/>
        </w:rPr>
        <w:t xml:space="preserve"> o </w:t>
      </w:r>
      <w:r w:rsidRPr="00974E1B">
        <w:rPr>
          <w:rFonts w:ascii="Arial" w:hAnsi="Arial" w:cs="Arial"/>
        </w:rPr>
        <w:t>planowaniu i zagospodarowaniu przestrzennym (tekst jednolity Dz. U. z 20</w:t>
      </w:r>
      <w:r w:rsidR="000461E7">
        <w:rPr>
          <w:rFonts w:ascii="Arial" w:hAnsi="Arial" w:cs="Arial"/>
        </w:rPr>
        <w:t>2</w:t>
      </w:r>
      <w:r w:rsidR="007253C2">
        <w:rPr>
          <w:rFonts w:ascii="Arial" w:hAnsi="Arial" w:cs="Arial"/>
        </w:rPr>
        <w:t>4</w:t>
      </w:r>
      <w:r w:rsidRPr="00974E1B">
        <w:rPr>
          <w:rFonts w:ascii="Arial" w:hAnsi="Arial" w:cs="Arial"/>
        </w:rPr>
        <w:t xml:space="preserve"> r., poz. </w:t>
      </w:r>
      <w:r w:rsidR="007253C2">
        <w:rPr>
          <w:rFonts w:ascii="Arial" w:hAnsi="Arial" w:cs="Arial"/>
        </w:rPr>
        <w:t>1130</w:t>
      </w:r>
      <w:r w:rsidR="00D75F12" w:rsidRPr="00974E1B">
        <w:rPr>
          <w:rFonts w:ascii="Arial" w:hAnsi="Arial" w:cs="Arial"/>
        </w:rPr>
        <w:t>)</w:t>
      </w:r>
      <w:r w:rsidRPr="00974E1B">
        <w:rPr>
          <w:rFonts w:ascii="Arial" w:hAnsi="Arial" w:cs="Arial"/>
        </w:rPr>
        <w:t xml:space="preserve">, Rada </w:t>
      </w:r>
      <w:r w:rsidR="00D75F12" w:rsidRPr="00974E1B">
        <w:rPr>
          <w:rFonts w:ascii="Arial" w:hAnsi="Arial" w:cs="Arial"/>
        </w:rPr>
        <w:t xml:space="preserve">Gminy w </w:t>
      </w:r>
      <w:r w:rsidR="007253C2">
        <w:rPr>
          <w:rFonts w:ascii="Arial" w:hAnsi="Arial" w:cs="Arial"/>
        </w:rPr>
        <w:t>Czarnej</w:t>
      </w:r>
      <w:r w:rsidR="00D75F12" w:rsidRPr="00974E1B">
        <w:rPr>
          <w:rFonts w:ascii="Arial" w:hAnsi="Arial" w:cs="Arial"/>
        </w:rPr>
        <w:t xml:space="preserve"> uchwala</w:t>
      </w:r>
      <w:r w:rsidRPr="00974E1B">
        <w:rPr>
          <w:rFonts w:ascii="Arial" w:hAnsi="Arial" w:cs="Arial"/>
        </w:rPr>
        <w:t xml:space="preserve"> co następuje</w:t>
      </w:r>
      <w:r w:rsidRPr="000C4738">
        <w:rPr>
          <w:rFonts w:ascii="Arial" w:hAnsi="Arial" w:cs="Arial"/>
        </w:rPr>
        <w:t>:</w:t>
      </w:r>
    </w:p>
    <w:p w14:paraId="68EA3EA7" w14:textId="5542E37D" w:rsidR="00A23CB1" w:rsidRPr="000C4738" w:rsidRDefault="00A23CB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BA7BA4F" w14:textId="53C32C96" w:rsidR="00B66ED4" w:rsidRPr="007C5591" w:rsidRDefault="00A23CB1" w:rsidP="004F14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4738">
        <w:rPr>
          <w:rFonts w:ascii="Arial" w:hAnsi="Arial" w:cs="Arial"/>
          <w:color w:val="000000"/>
          <w:sz w:val="22"/>
          <w:szCs w:val="22"/>
        </w:rPr>
        <w:t>§ 1</w:t>
      </w:r>
      <w:r w:rsidR="004F1488">
        <w:rPr>
          <w:rFonts w:ascii="Arial" w:hAnsi="Arial" w:cs="Arial"/>
          <w:color w:val="000000"/>
          <w:sz w:val="22"/>
          <w:szCs w:val="22"/>
        </w:rPr>
        <w:t xml:space="preserve">. </w:t>
      </w:r>
      <w:r w:rsidR="00D75F12">
        <w:rPr>
          <w:rFonts w:ascii="Arial" w:hAnsi="Arial" w:cs="Arial"/>
          <w:color w:val="000000"/>
          <w:sz w:val="22"/>
          <w:szCs w:val="22"/>
        </w:rPr>
        <w:t>Przystępuje się do sporządzenia</w:t>
      </w:r>
      <w:r w:rsidR="00B66ED4" w:rsidRPr="007C5591">
        <w:rPr>
          <w:rFonts w:ascii="Arial" w:hAnsi="Arial" w:cs="Arial"/>
          <w:color w:val="000000"/>
          <w:sz w:val="22"/>
          <w:szCs w:val="22"/>
        </w:rPr>
        <w:t xml:space="preserve"> </w:t>
      </w:r>
      <w:r w:rsidR="0037634D">
        <w:rPr>
          <w:rFonts w:ascii="Arial" w:hAnsi="Arial" w:cs="Arial"/>
          <w:color w:val="000000"/>
          <w:sz w:val="22"/>
          <w:szCs w:val="22"/>
        </w:rPr>
        <w:t>planu ogólnego gminy</w:t>
      </w:r>
      <w:r w:rsidR="0071601C" w:rsidRPr="007C5591">
        <w:rPr>
          <w:rFonts w:ascii="Arial" w:hAnsi="Arial" w:cs="Arial"/>
          <w:color w:val="000000"/>
          <w:sz w:val="22"/>
          <w:szCs w:val="22"/>
        </w:rPr>
        <w:t xml:space="preserve"> </w:t>
      </w:r>
      <w:r w:rsidR="007253C2">
        <w:rPr>
          <w:rFonts w:ascii="Arial" w:hAnsi="Arial" w:cs="Arial"/>
          <w:color w:val="000000"/>
          <w:sz w:val="22"/>
          <w:szCs w:val="22"/>
        </w:rPr>
        <w:t>Czarna</w:t>
      </w:r>
      <w:r w:rsidR="000461E7">
        <w:rPr>
          <w:rFonts w:ascii="Arial" w:hAnsi="Arial" w:cs="Arial"/>
          <w:color w:val="000000"/>
          <w:sz w:val="22"/>
          <w:szCs w:val="22"/>
        </w:rPr>
        <w:t>.</w:t>
      </w:r>
    </w:p>
    <w:p w14:paraId="76865A7E" w14:textId="77777777" w:rsidR="0037634D" w:rsidRDefault="0037634D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D2AD042" w14:textId="2AD0D4C8" w:rsidR="00A23CB1" w:rsidRPr="00A454CB" w:rsidRDefault="00A23CB1" w:rsidP="004F14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54CB">
        <w:rPr>
          <w:rFonts w:ascii="Arial" w:hAnsi="Arial" w:cs="Arial"/>
          <w:color w:val="000000"/>
          <w:sz w:val="22"/>
          <w:szCs w:val="22"/>
        </w:rPr>
        <w:t>§ 2</w:t>
      </w:r>
      <w:r w:rsidR="004F148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A454CB">
        <w:rPr>
          <w:rFonts w:ascii="Arial" w:hAnsi="Arial" w:cs="Arial"/>
          <w:color w:val="000000"/>
          <w:sz w:val="22"/>
          <w:szCs w:val="22"/>
        </w:rPr>
        <w:t xml:space="preserve">Wykonanie uchwały powierza się </w:t>
      </w:r>
      <w:r w:rsidR="00E744D9">
        <w:rPr>
          <w:rFonts w:ascii="Arial" w:hAnsi="Arial" w:cs="Arial"/>
          <w:color w:val="000000"/>
          <w:sz w:val="22"/>
          <w:szCs w:val="22"/>
        </w:rPr>
        <w:t xml:space="preserve">Wójtowi Gminy </w:t>
      </w:r>
      <w:r w:rsidR="007253C2">
        <w:rPr>
          <w:rFonts w:ascii="Arial" w:hAnsi="Arial" w:cs="Arial"/>
          <w:color w:val="000000"/>
          <w:sz w:val="22"/>
          <w:szCs w:val="22"/>
        </w:rPr>
        <w:t>Czarna</w:t>
      </w:r>
      <w:r w:rsidRPr="00A454CB">
        <w:rPr>
          <w:rFonts w:ascii="Arial" w:hAnsi="Arial" w:cs="Arial"/>
          <w:color w:val="000000"/>
          <w:sz w:val="22"/>
          <w:szCs w:val="22"/>
        </w:rPr>
        <w:t>.</w:t>
      </w:r>
    </w:p>
    <w:p w14:paraId="6E846078" w14:textId="3820DA3F" w:rsidR="00A23CB1" w:rsidRPr="00A454CB" w:rsidRDefault="00A23CB1" w:rsidP="004F14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F94F1D3" w14:textId="4ABF1D5F" w:rsidR="00A23CB1" w:rsidRPr="00A454CB" w:rsidRDefault="00A23CB1" w:rsidP="004F14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54CB">
        <w:rPr>
          <w:rFonts w:ascii="Arial" w:hAnsi="Arial" w:cs="Arial"/>
          <w:color w:val="000000"/>
          <w:sz w:val="22"/>
          <w:szCs w:val="22"/>
        </w:rPr>
        <w:t>§ 3</w:t>
      </w:r>
      <w:r w:rsidR="004F148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A454CB">
        <w:rPr>
          <w:rFonts w:ascii="Arial" w:hAnsi="Arial" w:cs="Arial"/>
          <w:color w:val="000000"/>
          <w:sz w:val="22"/>
          <w:szCs w:val="22"/>
        </w:rPr>
        <w:t>Uchwała wc</w:t>
      </w:r>
      <w:r w:rsidR="00DB0217">
        <w:rPr>
          <w:rFonts w:ascii="Arial" w:hAnsi="Arial" w:cs="Arial"/>
          <w:color w:val="000000"/>
          <w:sz w:val="22"/>
          <w:szCs w:val="22"/>
        </w:rPr>
        <w:t>hodzi w życie z dniem podjęcia.</w:t>
      </w:r>
    </w:p>
    <w:p w14:paraId="000DEB0C" w14:textId="6368AF19" w:rsidR="00A23CB1" w:rsidRPr="00A454CB" w:rsidRDefault="00A23CB1">
      <w:pPr>
        <w:pStyle w:val="Zwykytekst1"/>
        <w:jc w:val="both"/>
        <w:rPr>
          <w:rFonts w:ascii="Arial" w:hAnsi="Arial" w:cs="Arial"/>
          <w:color w:val="000000"/>
          <w:sz w:val="22"/>
          <w:szCs w:val="22"/>
        </w:rPr>
      </w:pPr>
    </w:p>
    <w:p w14:paraId="2B548162" w14:textId="77777777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EBDB4BF" w14:textId="46CCD701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B7A6832" w14:textId="59F459D7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0E36F121" w14:textId="09CD7A8A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1618DC49" w14:textId="4B232C48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4F7B5DD2" w14:textId="64EB6757" w:rsidR="00111F41" w:rsidRDefault="00111F41" w:rsidP="000F2245">
      <w:pPr>
        <w:pStyle w:val="Zwykytekst1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6FB6B1CF" w14:textId="7ADFA74D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7411ED3" w14:textId="114FC52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4610E12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3DC4937E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77A7DA13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4F68B51C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291A468F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6E6D069C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06BE8F5F" w14:textId="77777777" w:rsidR="00111F41" w:rsidRPr="00E63A93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349EFFE1" w14:textId="77777777" w:rsidR="004F1488" w:rsidRDefault="004F1488">
      <w:pPr>
        <w:suppressAutoHyphens w:val="0"/>
        <w:rPr>
          <w:rFonts w:ascii="Tahoma" w:eastAsia="Tahoma" w:hAnsi="Tahoma" w:cs="Tahoma"/>
          <w:color w:val="000000" w:themeColor="text1"/>
          <w:sz w:val="24"/>
          <w:szCs w:val="24"/>
        </w:rPr>
      </w:pPr>
      <w:r>
        <w:rPr>
          <w:rFonts w:ascii="Tahoma" w:eastAsia="Tahoma" w:hAnsi="Tahoma" w:cs="Tahoma"/>
          <w:color w:val="000000" w:themeColor="text1"/>
          <w:sz w:val="24"/>
          <w:szCs w:val="24"/>
        </w:rPr>
        <w:br w:type="page"/>
      </w:r>
    </w:p>
    <w:p w14:paraId="1D9E8CFE" w14:textId="300B17DB" w:rsidR="00111F41" w:rsidRPr="00E63A93" w:rsidRDefault="00111F41" w:rsidP="0026399B">
      <w:pPr>
        <w:pStyle w:val="Zwykytekst1"/>
        <w:jc w:val="center"/>
        <w:rPr>
          <w:rFonts w:ascii="Tahoma" w:eastAsia="Tahoma" w:hAnsi="Tahoma" w:cs="Tahoma"/>
          <w:b/>
          <w:color w:val="000000" w:themeColor="text1"/>
          <w:sz w:val="24"/>
          <w:szCs w:val="24"/>
        </w:rPr>
      </w:pPr>
      <w:r w:rsidRPr="00E63A93">
        <w:rPr>
          <w:rFonts w:ascii="Tahoma" w:eastAsia="Tahoma" w:hAnsi="Tahoma" w:cs="Tahoma"/>
          <w:b/>
          <w:color w:val="000000" w:themeColor="text1"/>
          <w:sz w:val="24"/>
          <w:szCs w:val="24"/>
        </w:rPr>
        <w:lastRenderedPageBreak/>
        <w:t>UZASADNIENIE</w:t>
      </w:r>
    </w:p>
    <w:p w14:paraId="1FDDA2B1" w14:textId="77777777" w:rsidR="00111F41" w:rsidRPr="0026399B" w:rsidRDefault="00111F41" w:rsidP="000F2245">
      <w:pPr>
        <w:pStyle w:val="Zwykytekst1"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46F55752" w14:textId="388BBD5E" w:rsidR="00894A13" w:rsidRPr="00894A13" w:rsidRDefault="00894A13" w:rsidP="00894A13">
      <w:pPr>
        <w:pStyle w:val="Akapitzlist"/>
        <w:numPr>
          <w:ilvl w:val="0"/>
          <w:numId w:val="7"/>
        </w:numPr>
        <w:tabs>
          <w:tab w:val="left" w:pos="7176"/>
        </w:tabs>
        <w:spacing w:before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Przedmiot regulacji</w:t>
      </w:r>
    </w:p>
    <w:p w14:paraId="4D23C0A7" w14:textId="20F09EA7" w:rsidR="00894A13" w:rsidRPr="00E961CA" w:rsidRDefault="00894A13" w:rsidP="00E961CA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E961CA">
        <w:rPr>
          <w:rFonts w:ascii="Arial" w:hAnsi="Arial" w:cs="Arial"/>
          <w:bCs/>
          <w:color w:val="000000" w:themeColor="text1"/>
          <w:szCs w:val="22"/>
        </w:rPr>
        <w:t>Przedmiotem regulacji jest uchwa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>ł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a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 xml:space="preserve">w </w:t>
      </w:r>
      <w:r w:rsidR="00E961CA" w:rsidRPr="00E961CA">
        <w:rPr>
          <w:rFonts w:ascii="Arial" w:hAnsi="Arial" w:cs="Arial"/>
          <w:color w:val="000000"/>
          <w:szCs w:val="22"/>
        </w:rPr>
        <w:t>sprawie przystąpienia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 do sporządzenia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>p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lanu ogólnego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 xml:space="preserve">gminy </w:t>
      </w:r>
      <w:r w:rsidR="007253C2">
        <w:rPr>
          <w:rFonts w:ascii="Arial" w:hAnsi="Arial" w:cs="Arial"/>
          <w:bCs/>
          <w:color w:val="000000" w:themeColor="text1"/>
          <w:szCs w:val="22"/>
        </w:rPr>
        <w:t>Czarna</w:t>
      </w:r>
      <w:r w:rsidRPr="00E961CA">
        <w:rPr>
          <w:rFonts w:ascii="Arial" w:hAnsi="Arial" w:cs="Arial"/>
          <w:bCs/>
          <w:color w:val="000000" w:themeColor="text1"/>
          <w:szCs w:val="22"/>
        </w:rPr>
        <w:t>.</w:t>
      </w:r>
    </w:p>
    <w:p w14:paraId="6FA294AA" w14:textId="3C42396F" w:rsidR="00894A13" w:rsidRPr="00E961CA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E961CA">
        <w:rPr>
          <w:rFonts w:ascii="Arial" w:hAnsi="Arial" w:cs="Arial"/>
          <w:bCs/>
          <w:color w:val="000000" w:themeColor="text1"/>
          <w:szCs w:val="22"/>
        </w:rPr>
        <w:t xml:space="preserve">Obszar objęty projektem obejmuje obszar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 xml:space="preserve">gminy </w:t>
      </w:r>
      <w:r w:rsidR="00175AFB">
        <w:rPr>
          <w:rFonts w:ascii="Arial" w:hAnsi="Arial" w:cs="Arial"/>
          <w:bCs/>
          <w:color w:val="000000" w:themeColor="text1"/>
          <w:szCs w:val="22"/>
        </w:rPr>
        <w:t>Czarna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 w granicach administracyjnych.</w:t>
      </w:r>
    </w:p>
    <w:p w14:paraId="4B2E4155" w14:textId="25704BE9" w:rsidR="00894A13" w:rsidRPr="00E961CA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E961CA">
        <w:rPr>
          <w:rFonts w:ascii="Arial" w:hAnsi="Arial" w:cs="Arial"/>
          <w:bCs/>
          <w:color w:val="000000" w:themeColor="text1"/>
          <w:szCs w:val="22"/>
        </w:rPr>
        <w:t>Niniejsza uchwala rozpocznie tryb fo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>rm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alno-prawny sporządzenia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>p</w:t>
      </w:r>
      <w:r w:rsidRPr="00E961CA">
        <w:rPr>
          <w:rFonts w:ascii="Arial" w:hAnsi="Arial" w:cs="Arial"/>
          <w:bCs/>
          <w:color w:val="000000" w:themeColor="text1"/>
          <w:szCs w:val="22"/>
        </w:rPr>
        <w:t xml:space="preserve">lanu ogólnego </w:t>
      </w:r>
      <w:r w:rsidR="00E961CA" w:rsidRPr="00E961CA">
        <w:rPr>
          <w:rFonts w:ascii="Arial" w:hAnsi="Arial" w:cs="Arial"/>
          <w:bCs/>
          <w:color w:val="000000" w:themeColor="text1"/>
          <w:szCs w:val="22"/>
        </w:rPr>
        <w:t xml:space="preserve">gminy </w:t>
      </w:r>
      <w:r w:rsidR="00175AFB">
        <w:rPr>
          <w:rFonts w:ascii="Arial" w:hAnsi="Arial" w:cs="Arial"/>
          <w:bCs/>
          <w:color w:val="000000" w:themeColor="text1"/>
          <w:szCs w:val="22"/>
        </w:rPr>
        <w:t>Czarna</w:t>
      </w:r>
      <w:r w:rsidRPr="00E961CA">
        <w:rPr>
          <w:rFonts w:ascii="Arial" w:hAnsi="Arial" w:cs="Arial"/>
          <w:bCs/>
          <w:color w:val="000000" w:themeColor="text1"/>
          <w:szCs w:val="22"/>
        </w:rPr>
        <w:t>.</w:t>
      </w:r>
    </w:p>
    <w:p w14:paraId="488D3238" w14:textId="01607DE2" w:rsidR="00894A13" w:rsidRPr="00894A13" w:rsidRDefault="00894A13" w:rsidP="00894A13">
      <w:pPr>
        <w:pStyle w:val="Akapitzlist"/>
        <w:numPr>
          <w:ilvl w:val="0"/>
          <w:numId w:val="7"/>
        </w:numPr>
        <w:tabs>
          <w:tab w:val="left" w:pos="7176"/>
        </w:tabs>
        <w:spacing w:before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Podstawa prawna</w:t>
      </w:r>
    </w:p>
    <w:p w14:paraId="6BCC6E1A" w14:textId="2DAB0500" w:rsidR="00894A13" w:rsidRPr="005C6C1C" w:rsidRDefault="00894A13" w:rsidP="00E961CA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5C6C1C">
        <w:rPr>
          <w:rFonts w:ascii="Arial" w:hAnsi="Arial" w:cs="Arial"/>
          <w:bCs/>
          <w:color w:val="000000" w:themeColor="text1"/>
          <w:szCs w:val="22"/>
        </w:rPr>
        <w:t xml:space="preserve">Zgodnie z art. 18 ust. 2 pkt 5 ustawy z dnia 8 marca 1990 r. </w:t>
      </w:r>
      <w:r w:rsidRPr="005C6C1C">
        <w:rPr>
          <w:rFonts w:ascii="Arial" w:hAnsi="Arial" w:cs="Arial"/>
          <w:bCs/>
          <w:i/>
          <w:color w:val="000000" w:themeColor="text1"/>
          <w:szCs w:val="22"/>
        </w:rPr>
        <w:t xml:space="preserve">o samorządzie gminnym </w:t>
      </w:r>
      <w:r w:rsidRPr="005C6C1C">
        <w:rPr>
          <w:rFonts w:ascii="Arial" w:hAnsi="Arial" w:cs="Arial"/>
          <w:bCs/>
          <w:color w:val="000000" w:themeColor="text1"/>
          <w:szCs w:val="22"/>
        </w:rPr>
        <w:t>(Dz. U. z 202</w:t>
      </w:r>
      <w:r w:rsidR="00B96648">
        <w:rPr>
          <w:rFonts w:ascii="Arial" w:hAnsi="Arial" w:cs="Arial"/>
          <w:bCs/>
          <w:color w:val="000000" w:themeColor="text1"/>
          <w:szCs w:val="22"/>
        </w:rPr>
        <w:t>4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 r. poz. </w:t>
      </w:r>
      <w:r w:rsidR="00B96648">
        <w:rPr>
          <w:rFonts w:ascii="Arial" w:hAnsi="Arial" w:cs="Arial"/>
          <w:bCs/>
          <w:color w:val="000000" w:themeColor="text1"/>
          <w:szCs w:val="22"/>
        </w:rPr>
        <w:t>609</w:t>
      </w:r>
      <w:r w:rsidR="005C6C1C">
        <w:rPr>
          <w:rFonts w:ascii="Arial" w:hAnsi="Arial" w:cs="Arial"/>
          <w:bCs/>
          <w:color w:val="000000" w:themeColor="text1"/>
          <w:szCs w:val="22"/>
        </w:rPr>
        <w:t xml:space="preserve"> z </w:t>
      </w:r>
      <w:proofErr w:type="spellStart"/>
      <w:r w:rsidR="00E961CA" w:rsidRPr="005C6C1C">
        <w:rPr>
          <w:rFonts w:ascii="Arial" w:hAnsi="Arial" w:cs="Arial"/>
          <w:bCs/>
          <w:color w:val="000000" w:themeColor="text1"/>
          <w:szCs w:val="22"/>
        </w:rPr>
        <w:t>późn</w:t>
      </w:r>
      <w:proofErr w:type="spellEnd"/>
      <w:r w:rsidR="00E961CA" w:rsidRPr="005C6C1C">
        <w:rPr>
          <w:rFonts w:ascii="Arial" w:hAnsi="Arial" w:cs="Arial"/>
          <w:bCs/>
          <w:color w:val="000000" w:themeColor="text1"/>
          <w:szCs w:val="22"/>
        </w:rPr>
        <w:t>. zm.</w:t>
      </w:r>
      <w:r w:rsidRPr="005C6C1C">
        <w:rPr>
          <w:rFonts w:ascii="Arial" w:hAnsi="Arial" w:cs="Arial"/>
          <w:bCs/>
          <w:color w:val="000000" w:themeColor="text1"/>
          <w:szCs w:val="22"/>
        </w:rPr>
        <w:t>) do wyłącznej właściwości rady gminy należy uchwalanie planu ogólnego gminy oraz miejscowych planów zagospodarowania przestrzennego.</w:t>
      </w:r>
    </w:p>
    <w:p w14:paraId="1CA8BA88" w14:textId="25FB5B6E" w:rsidR="00894A13" w:rsidRPr="005C6C1C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033C22">
        <w:rPr>
          <w:rFonts w:ascii="Arial" w:hAnsi="Arial" w:cs="Arial"/>
          <w:bCs/>
          <w:color w:val="000000" w:themeColor="text1"/>
          <w:szCs w:val="22"/>
        </w:rPr>
        <w:t xml:space="preserve">Zgodnie z art. 3 ust. 1 ustawy z dnia 27 marca 2003 r. </w:t>
      </w:r>
      <w:r w:rsidRPr="00033C22">
        <w:rPr>
          <w:rFonts w:ascii="Arial" w:hAnsi="Arial" w:cs="Arial"/>
          <w:bCs/>
          <w:i/>
          <w:color w:val="000000" w:themeColor="text1"/>
          <w:szCs w:val="22"/>
        </w:rPr>
        <w:t xml:space="preserve">o planowaniu i zagospodarowaniu przestrzennym </w:t>
      </w:r>
      <w:r w:rsidR="00CD69F9">
        <w:rPr>
          <w:rFonts w:ascii="Arial" w:hAnsi="Arial" w:cs="Arial"/>
          <w:bCs/>
          <w:i/>
          <w:color w:val="000000" w:themeColor="text1"/>
          <w:szCs w:val="22"/>
        </w:rPr>
        <w:t xml:space="preserve">  </w:t>
      </w:r>
      <w:r w:rsidRPr="005C6C1C">
        <w:rPr>
          <w:rFonts w:ascii="Arial" w:hAnsi="Arial" w:cs="Arial"/>
          <w:bCs/>
          <w:color w:val="000000" w:themeColor="text1"/>
          <w:szCs w:val="22"/>
        </w:rPr>
        <w:t>(Dz. U. z 202</w:t>
      </w:r>
      <w:r w:rsidR="00175AFB">
        <w:rPr>
          <w:rFonts w:ascii="Arial" w:hAnsi="Arial" w:cs="Arial"/>
          <w:bCs/>
          <w:color w:val="000000" w:themeColor="text1"/>
          <w:szCs w:val="22"/>
        </w:rPr>
        <w:t>4 r. poz. 1130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) kształtowanie i prowadzenie polityki przestrzennej na terenie gminy, w tym uchwalanie gminnych aktów planowania przestrzennego, z wyjątkiem morskich wód wewnętrznych, morza terytorialnego </w:t>
      </w:r>
      <w:r w:rsidRPr="00762C41">
        <w:rPr>
          <w:rFonts w:ascii="Arial" w:hAnsi="Arial" w:cs="Arial"/>
          <w:bCs/>
          <w:color w:val="000000" w:themeColor="text1"/>
          <w:szCs w:val="22"/>
        </w:rPr>
        <w:t>i</w:t>
      </w:r>
      <w:r w:rsidRPr="005C6C1C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r w:rsidRPr="005C6C1C">
        <w:rPr>
          <w:rFonts w:ascii="Arial" w:hAnsi="Arial" w:cs="Arial"/>
          <w:bCs/>
          <w:color w:val="000000" w:themeColor="text1"/>
          <w:szCs w:val="22"/>
        </w:rPr>
        <w:t>wyłącznej strefy ekonomicznej oraz terenów zamkniętych ustalonych przez organ inny niż minister właściwy do spraw transportu, należy do zadań własnych gminy.</w:t>
      </w:r>
    </w:p>
    <w:p w14:paraId="1008BA37" w14:textId="6BD6568A" w:rsidR="00894A13" w:rsidRPr="005C6C1C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2"/>
        </w:rPr>
      </w:pPr>
      <w:r w:rsidRPr="005C6C1C">
        <w:rPr>
          <w:rFonts w:ascii="Arial" w:hAnsi="Arial" w:cs="Arial"/>
          <w:bCs/>
          <w:color w:val="000000" w:themeColor="text1"/>
          <w:szCs w:val="22"/>
        </w:rPr>
        <w:t xml:space="preserve">Zgodnie z art. 13a ust. </w:t>
      </w:r>
      <w:r w:rsidR="005C6C1C">
        <w:rPr>
          <w:rFonts w:ascii="Arial" w:hAnsi="Arial" w:cs="Arial"/>
          <w:bCs/>
          <w:color w:val="000000" w:themeColor="text1"/>
          <w:szCs w:val="22"/>
        </w:rPr>
        <w:t>1</w:t>
      </w:r>
      <w:r w:rsidRPr="005C6C1C">
        <w:rPr>
          <w:rFonts w:ascii="Arial" w:hAnsi="Arial" w:cs="Arial"/>
          <w:bCs/>
          <w:color w:val="000000" w:themeColor="text1"/>
          <w:szCs w:val="22"/>
        </w:rPr>
        <w:t>, 4 i 5 ww. ustawy, dla obszaru gminy, z wyłączeniem terenów zamkniętych innych niż ustalane przez ministra właściwego do spraw transportu, rada gminy uchwala plan ogólny gminy. W</w:t>
      </w:r>
      <w:r w:rsidR="00E63A93">
        <w:rPr>
          <w:rFonts w:ascii="Arial" w:hAnsi="Arial" w:cs="Arial"/>
          <w:bCs/>
          <w:color w:val="000000" w:themeColor="text1"/>
          <w:szCs w:val="22"/>
        </w:rPr>
        <w:t> </w:t>
      </w:r>
      <w:r w:rsidRPr="005C6C1C">
        <w:rPr>
          <w:rFonts w:ascii="Arial" w:hAnsi="Arial" w:cs="Arial"/>
          <w:bCs/>
          <w:color w:val="000000" w:themeColor="text1"/>
          <w:szCs w:val="22"/>
        </w:rPr>
        <w:t>planie ogólnym określa się strefy planistyczne i gmi</w:t>
      </w:r>
      <w:r w:rsidR="005C6C1C">
        <w:rPr>
          <w:rFonts w:ascii="Arial" w:hAnsi="Arial" w:cs="Arial"/>
          <w:bCs/>
          <w:color w:val="000000" w:themeColor="text1"/>
          <w:szCs w:val="22"/>
        </w:rPr>
        <w:t>nn</w:t>
      </w:r>
      <w:r w:rsidRPr="005C6C1C">
        <w:rPr>
          <w:rFonts w:ascii="Arial" w:hAnsi="Arial" w:cs="Arial"/>
          <w:bCs/>
          <w:color w:val="000000" w:themeColor="text1"/>
          <w:szCs w:val="22"/>
        </w:rPr>
        <w:t>e standardy urbanistyczne. Plan ogólny uwzględnia się przy sporządzaniu miejscowego planu zagospodarowania przestrze</w:t>
      </w:r>
      <w:r w:rsidR="00E961CA" w:rsidRPr="005C6C1C">
        <w:rPr>
          <w:rFonts w:ascii="Arial" w:hAnsi="Arial" w:cs="Arial"/>
          <w:bCs/>
          <w:color w:val="000000" w:themeColor="text1"/>
          <w:szCs w:val="22"/>
        </w:rPr>
        <w:t>nn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ego oraz stanowi podstawę prawną decyzji o warunkach zabudowy i zagospodarowania terenu. Zgodnie z art. 13a ust. 7 ww. ustawy plan ogólny jest aktem </w:t>
      </w:r>
      <w:r w:rsidRPr="005C6C1C">
        <w:rPr>
          <w:rFonts w:ascii="Arial" w:hAnsi="Arial" w:cs="Arial"/>
          <w:b/>
          <w:bCs/>
          <w:color w:val="000000" w:themeColor="text1"/>
          <w:szCs w:val="22"/>
        </w:rPr>
        <w:t>prawa m</w:t>
      </w:r>
      <w:r w:rsidR="00E961CA" w:rsidRPr="005C6C1C">
        <w:rPr>
          <w:rFonts w:ascii="Arial" w:hAnsi="Arial" w:cs="Arial"/>
          <w:b/>
          <w:bCs/>
          <w:color w:val="000000" w:themeColor="text1"/>
          <w:szCs w:val="22"/>
        </w:rPr>
        <w:t>iej</w:t>
      </w:r>
      <w:r w:rsidRPr="005C6C1C">
        <w:rPr>
          <w:rFonts w:ascii="Arial" w:hAnsi="Arial" w:cs="Arial"/>
          <w:b/>
          <w:bCs/>
          <w:color w:val="000000" w:themeColor="text1"/>
          <w:szCs w:val="22"/>
        </w:rPr>
        <w:t>scowego.</w:t>
      </w:r>
    </w:p>
    <w:p w14:paraId="39DC9C68" w14:textId="1A916BA0" w:rsidR="00894A13" w:rsidRPr="005C6C1C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5C6C1C">
        <w:rPr>
          <w:rFonts w:ascii="Arial" w:hAnsi="Arial" w:cs="Arial"/>
          <w:bCs/>
          <w:color w:val="000000" w:themeColor="text1"/>
          <w:szCs w:val="22"/>
        </w:rPr>
        <w:t xml:space="preserve">Zgodnie z art. </w:t>
      </w:r>
      <w:r w:rsidR="005C6C1C">
        <w:rPr>
          <w:rFonts w:ascii="Arial" w:hAnsi="Arial" w:cs="Arial"/>
          <w:bCs/>
          <w:color w:val="000000" w:themeColor="text1"/>
          <w:szCs w:val="22"/>
        </w:rPr>
        <w:t>1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3i ust. </w:t>
      </w:r>
      <w:r w:rsidR="005C6C1C">
        <w:rPr>
          <w:rFonts w:ascii="Arial" w:hAnsi="Arial" w:cs="Arial"/>
          <w:bCs/>
          <w:color w:val="000000" w:themeColor="text1"/>
          <w:szCs w:val="22"/>
        </w:rPr>
        <w:t>1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 ww. ustawy przed sporządzeniem projektu planu ogólnego rada gminy podejmuje uchwalę o przystąpieniu do sporządzenia planu ogólnego.</w:t>
      </w:r>
    </w:p>
    <w:p w14:paraId="5F69261C" w14:textId="5B370816" w:rsidR="00894A13" w:rsidRPr="005C6C1C" w:rsidRDefault="00894A13" w:rsidP="00E961CA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Cs w:val="22"/>
        </w:rPr>
      </w:pPr>
      <w:r w:rsidRPr="005C6C1C">
        <w:rPr>
          <w:rFonts w:ascii="Arial" w:hAnsi="Arial" w:cs="Arial"/>
          <w:bCs/>
          <w:color w:val="000000" w:themeColor="text1"/>
          <w:szCs w:val="22"/>
        </w:rPr>
        <w:t xml:space="preserve">Zgodnie z </w:t>
      </w:r>
      <w:r w:rsidR="00033C22">
        <w:rPr>
          <w:rFonts w:ascii="Arial" w:hAnsi="Arial" w:cs="Arial"/>
          <w:bCs/>
          <w:color w:val="000000" w:themeColor="text1"/>
          <w:szCs w:val="22"/>
        </w:rPr>
        <w:t>art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. 46 ust. </w:t>
      </w:r>
      <w:r w:rsidR="00033C22">
        <w:rPr>
          <w:rFonts w:ascii="Arial" w:hAnsi="Arial" w:cs="Arial"/>
          <w:bCs/>
          <w:color w:val="000000" w:themeColor="text1"/>
          <w:szCs w:val="22"/>
        </w:rPr>
        <w:t>1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 pkt I ustawy z dnia 3 października 2008 r. </w:t>
      </w:r>
      <w:r w:rsidRPr="005C6C1C">
        <w:rPr>
          <w:rFonts w:ascii="Arial" w:hAnsi="Arial" w:cs="Arial"/>
          <w:bCs/>
          <w:i/>
          <w:color w:val="000000" w:themeColor="text1"/>
          <w:szCs w:val="22"/>
        </w:rPr>
        <w:t xml:space="preserve">o udostępnianiu informacji o środowisku </w:t>
      </w:r>
      <w:r w:rsidR="00E63A93">
        <w:rPr>
          <w:rFonts w:ascii="Arial" w:hAnsi="Arial" w:cs="Arial"/>
          <w:bCs/>
          <w:i/>
          <w:color w:val="000000" w:themeColor="text1"/>
          <w:szCs w:val="22"/>
        </w:rPr>
        <w:t>i </w:t>
      </w:r>
      <w:r w:rsidRPr="00033C22">
        <w:rPr>
          <w:rFonts w:ascii="Arial" w:hAnsi="Arial" w:cs="Arial"/>
          <w:bCs/>
          <w:i/>
          <w:color w:val="000000" w:themeColor="text1"/>
          <w:szCs w:val="22"/>
        </w:rPr>
        <w:t xml:space="preserve">jego ochronie, udziale </w:t>
      </w:r>
      <w:r w:rsidR="00033C22" w:rsidRPr="00033C22">
        <w:rPr>
          <w:rFonts w:ascii="Arial" w:hAnsi="Arial" w:cs="Arial"/>
          <w:bCs/>
          <w:i/>
          <w:color w:val="000000" w:themeColor="text1"/>
          <w:szCs w:val="22"/>
        </w:rPr>
        <w:t>społeczeństwa</w:t>
      </w:r>
      <w:r w:rsidRPr="00033C22">
        <w:rPr>
          <w:rFonts w:ascii="Arial" w:hAnsi="Arial" w:cs="Arial"/>
          <w:bCs/>
          <w:i/>
          <w:color w:val="000000" w:themeColor="text1"/>
          <w:szCs w:val="22"/>
        </w:rPr>
        <w:t xml:space="preserve"> w ochronie środowiska oraz o ocenach oddziaływania na</w:t>
      </w:r>
      <w:r w:rsidR="00E63A93">
        <w:rPr>
          <w:rFonts w:ascii="Arial" w:hAnsi="Arial" w:cs="Arial"/>
          <w:bCs/>
          <w:i/>
          <w:color w:val="000000" w:themeColor="text1"/>
          <w:szCs w:val="22"/>
        </w:rPr>
        <w:t> </w:t>
      </w:r>
      <w:r w:rsidRPr="00033C22">
        <w:rPr>
          <w:rFonts w:ascii="Arial" w:hAnsi="Arial" w:cs="Arial"/>
          <w:bCs/>
          <w:i/>
          <w:color w:val="000000" w:themeColor="text1"/>
          <w:szCs w:val="22"/>
        </w:rPr>
        <w:t>środowisko</w:t>
      </w:r>
      <w:r w:rsidRPr="005C6C1C">
        <w:rPr>
          <w:rFonts w:ascii="Arial" w:hAnsi="Arial" w:cs="Arial"/>
          <w:b/>
          <w:bCs/>
          <w:i/>
          <w:color w:val="000000" w:themeColor="text1"/>
          <w:szCs w:val="22"/>
        </w:rPr>
        <w:t xml:space="preserve"> </w:t>
      </w:r>
      <w:r w:rsidRPr="005C6C1C">
        <w:rPr>
          <w:rFonts w:ascii="Arial" w:hAnsi="Arial" w:cs="Arial"/>
          <w:bCs/>
          <w:color w:val="000000" w:themeColor="text1"/>
          <w:szCs w:val="22"/>
        </w:rPr>
        <w:t>(Dz. U. z</w:t>
      </w:r>
      <w:r w:rsidR="00033C22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Pr="005C6C1C">
        <w:rPr>
          <w:rFonts w:ascii="Arial" w:hAnsi="Arial" w:cs="Arial"/>
          <w:bCs/>
          <w:color w:val="000000" w:themeColor="text1"/>
          <w:szCs w:val="22"/>
        </w:rPr>
        <w:t>202</w:t>
      </w:r>
      <w:r w:rsidR="00762C41">
        <w:rPr>
          <w:rFonts w:ascii="Arial" w:hAnsi="Arial" w:cs="Arial"/>
          <w:bCs/>
          <w:color w:val="000000" w:themeColor="text1"/>
          <w:szCs w:val="22"/>
        </w:rPr>
        <w:t>4</w:t>
      </w:r>
      <w:r w:rsidRPr="005C6C1C">
        <w:rPr>
          <w:rFonts w:ascii="Arial" w:hAnsi="Arial" w:cs="Arial"/>
          <w:bCs/>
          <w:color w:val="000000" w:themeColor="text1"/>
          <w:szCs w:val="22"/>
        </w:rPr>
        <w:t xml:space="preserve"> r. </w:t>
      </w:r>
      <w:r w:rsidR="00033C22">
        <w:rPr>
          <w:rFonts w:ascii="Arial" w:hAnsi="Arial" w:cs="Arial"/>
          <w:bCs/>
          <w:color w:val="000000" w:themeColor="text1"/>
          <w:szCs w:val="22"/>
        </w:rPr>
        <w:t>poz. 1</w:t>
      </w:r>
      <w:r w:rsidR="00762C41">
        <w:rPr>
          <w:rFonts w:ascii="Arial" w:hAnsi="Arial" w:cs="Arial"/>
          <w:bCs/>
          <w:color w:val="000000" w:themeColor="text1"/>
          <w:szCs w:val="22"/>
        </w:rPr>
        <w:t>112</w:t>
      </w:r>
      <w:r w:rsidRPr="005C6C1C">
        <w:rPr>
          <w:rFonts w:ascii="Arial" w:hAnsi="Arial" w:cs="Arial"/>
          <w:bCs/>
          <w:color w:val="000000" w:themeColor="text1"/>
          <w:szCs w:val="22"/>
        </w:rPr>
        <w:t>) projekt planu ogólnego wymagać będzie przeprowadzenia strategicznej oceny oddziaływania na środowisko.</w:t>
      </w:r>
    </w:p>
    <w:p w14:paraId="5FE7E254" w14:textId="63E68764" w:rsidR="00894A13" w:rsidRPr="00894A13" w:rsidRDefault="00894A13" w:rsidP="00894A13">
      <w:pPr>
        <w:pStyle w:val="Akapitzlist"/>
        <w:numPr>
          <w:ilvl w:val="0"/>
          <w:numId w:val="7"/>
        </w:numPr>
        <w:tabs>
          <w:tab w:val="left" w:pos="7176"/>
        </w:tabs>
        <w:spacing w:before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Konsultacje wymagane przepisami prawa</w:t>
      </w:r>
    </w:p>
    <w:p w14:paraId="5DE28868" w14:textId="77777777" w:rsidR="00894A13" w:rsidRPr="00894A13" w:rsidRDefault="00894A13" w:rsidP="00033C22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Podjęcie niniejszej uchwały, zgodnie z obowiązującymi przepisami prawa, nie wymaga przeprowadzenia konsultacji.</w:t>
      </w:r>
    </w:p>
    <w:p w14:paraId="5697DA18" w14:textId="2CAAEA80" w:rsidR="00894A13" w:rsidRPr="00894A13" w:rsidRDefault="00894A13" w:rsidP="00033C22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Stosownie do art. 13i ust. 3 pkt. </w:t>
      </w:r>
      <w:r w:rsidR="00033C2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i 2 ustawy </w:t>
      </w:r>
      <w:r w:rsidRPr="00894A1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o planowaniu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Pr="00894A1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zagospodarowaniu przestrzennym, </w:t>
      </w:r>
      <w:r w:rsidR="00E63A93">
        <w:rPr>
          <w:rFonts w:ascii="Arial" w:hAnsi="Arial" w:cs="Arial"/>
          <w:bCs/>
          <w:color w:val="000000" w:themeColor="text1"/>
          <w:sz w:val="22"/>
          <w:szCs w:val="22"/>
        </w:rPr>
        <w:t>a 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także na podstawie art. 39 ust. </w:t>
      </w:r>
      <w:r w:rsidR="00033C2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, w związku z </w:t>
      </w:r>
      <w:r w:rsidR="00033C22">
        <w:rPr>
          <w:rFonts w:ascii="Arial" w:hAnsi="Arial" w:cs="Arial"/>
          <w:bCs/>
          <w:color w:val="000000" w:themeColor="text1"/>
          <w:sz w:val="22"/>
          <w:szCs w:val="22"/>
        </w:rPr>
        <w:t>art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. 46 ust. </w:t>
      </w:r>
      <w:r w:rsidR="00033C2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pkt </w:t>
      </w:r>
      <w:r w:rsidR="00033C2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ustawy </w:t>
      </w:r>
      <w:r w:rsidRPr="00894A13">
        <w:rPr>
          <w:rFonts w:ascii="Arial" w:hAnsi="Arial" w:cs="Arial"/>
          <w:bCs/>
          <w:i/>
          <w:color w:val="000000" w:themeColor="text1"/>
          <w:sz w:val="22"/>
          <w:szCs w:val="22"/>
        </w:rPr>
        <w:t>o udostępnianiu informacji o środowisku i</w:t>
      </w:r>
      <w:r w:rsidR="00033C22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jego </w:t>
      </w:r>
      <w:r w:rsidRPr="008160C7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ochronie, udziale </w:t>
      </w:r>
      <w:r w:rsidR="00E961CA" w:rsidRPr="008160C7">
        <w:rPr>
          <w:rFonts w:ascii="Arial" w:hAnsi="Arial" w:cs="Arial"/>
          <w:bCs/>
          <w:i/>
          <w:color w:val="000000" w:themeColor="text1"/>
          <w:sz w:val="22"/>
          <w:szCs w:val="22"/>
        </w:rPr>
        <w:t>społeczeństwa</w:t>
      </w:r>
      <w:r w:rsidRPr="008160C7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w ochronie środowiska oraz </w:t>
      </w:r>
      <w:r w:rsidR="00E63A93">
        <w:rPr>
          <w:rFonts w:ascii="Arial" w:hAnsi="Arial" w:cs="Arial"/>
          <w:bCs/>
          <w:i/>
          <w:color w:val="000000" w:themeColor="text1"/>
          <w:sz w:val="22"/>
          <w:szCs w:val="22"/>
        </w:rPr>
        <w:t>o </w:t>
      </w:r>
      <w:r w:rsidRPr="008160C7">
        <w:rPr>
          <w:rFonts w:ascii="Arial" w:hAnsi="Arial" w:cs="Arial"/>
          <w:bCs/>
          <w:i/>
          <w:color w:val="000000" w:themeColor="text1"/>
          <w:sz w:val="22"/>
          <w:szCs w:val="22"/>
        </w:rPr>
        <w:t>ocenach oddziaływania na środowisko</w:t>
      </w:r>
      <w:r w:rsidRPr="00894A1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podjęciu niniejszej uchwały, </w:t>
      </w:r>
      <w:r w:rsidR="008160C7">
        <w:rPr>
          <w:rFonts w:ascii="Arial" w:hAnsi="Arial" w:cs="Arial"/>
          <w:bCs/>
          <w:color w:val="000000" w:themeColor="text1"/>
          <w:sz w:val="22"/>
          <w:szCs w:val="22"/>
        </w:rPr>
        <w:t>Wójt Gminy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ogłasza o tym fakcie, umożliwiając partycypację społeczną w przygotowaniu aktu planowania przestrzennego.</w:t>
      </w:r>
    </w:p>
    <w:p w14:paraId="1A969C2B" w14:textId="77777777" w:rsidR="00894A13" w:rsidRPr="00894A13" w:rsidRDefault="00894A13" w:rsidP="00894A13">
      <w:pPr>
        <w:pStyle w:val="Akapitzlist"/>
        <w:numPr>
          <w:ilvl w:val="0"/>
          <w:numId w:val="7"/>
        </w:numPr>
        <w:tabs>
          <w:tab w:val="left" w:pos="7176"/>
        </w:tabs>
        <w:spacing w:before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Uzasadnienie merytoryczne</w:t>
      </w:r>
    </w:p>
    <w:p w14:paraId="1EF1E21C" w14:textId="4FB3233B" w:rsidR="00894A13" w:rsidRPr="00894A13" w:rsidRDefault="00894A13" w:rsidP="008160C7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Ustawa z dnia 7 lipca 2023 r. o zmianie ustawy o planowaniu i zagospodarowaniu przestrzennym oraz niektórych innych ustaw (Dz.</w:t>
      </w:r>
      <w:r w:rsidR="00175AF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U.</w:t>
      </w:r>
      <w:r w:rsidR="00175AF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2023 </w:t>
      </w:r>
      <w:r w:rsidRPr="00175AFB">
        <w:rPr>
          <w:rFonts w:ascii="Arial" w:hAnsi="Arial" w:cs="Arial"/>
          <w:bCs/>
          <w:color w:val="000000" w:themeColor="text1"/>
          <w:sz w:val="22"/>
          <w:szCs w:val="22"/>
        </w:rPr>
        <w:t>r.</w:t>
      </w: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poz. 1688) wprowadziła zasadniczą zmianę w</w:t>
      </w:r>
      <w:r w:rsidR="00E63A9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dotychczasowym systemie planowania przestrzennego. Studium uwarunkowań i kierunków zagospodarowania przestrzennego zostanie zastąpione nowym dokumentem tj. planem ogólnym.</w:t>
      </w:r>
    </w:p>
    <w:p w14:paraId="702813AE" w14:textId="0DA1524F" w:rsidR="00894A13" w:rsidRDefault="00894A13" w:rsidP="008160C7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Zgodnie z art. 65 ust </w:t>
      </w:r>
      <w:r w:rsidR="008160C7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ww. ustawy obowiązujące studia tracą ważność z dniem 31 grudnia 2025 r. Po tym te</w:t>
      </w:r>
      <w:r w:rsidR="008160C7">
        <w:rPr>
          <w:rFonts w:ascii="Arial" w:hAnsi="Arial" w:cs="Arial"/>
          <w:bCs/>
          <w:color w:val="000000" w:themeColor="text1"/>
          <w:sz w:val="22"/>
          <w:szCs w:val="22"/>
        </w:rPr>
        <w:t>rm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inie, zgodnie z </w:t>
      </w:r>
      <w:r w:rsidR="008160C7">
        <w:rPr>
          <w:rFonts w:ascii="Arial" w:hAnsi="Arial" w:cs="Arial"/>
          <w:bCs/>
          <w:color w:val="000000" w:themeColor="text1"/>
          <w:sz w:val="22"/>
          <w:szCs w:val="22"/>
        </w:rPr>
        <w:t>art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. 67 ust. 4 uchwalenie miejscowego planu zagospodarowania przestrze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nn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ego lub jego zmiany będzie możliwe jeżeli w danej gminie wszedł w życie plan ogólny (z wyjątkami określonymi w pkt 1</w:t>
      </w:r>
      <w:r w:rsidR="008160C7">
        <w:rPr>
          <w:rFonts w:ascii="Arial" w:hAnsi="Arial" w:cs="Arial"/>
          <w:bCs/>
          <w:color w:val="000000" w:themeColor="text1"/>
          <w:sz w:val="22"/>
          <w:szCs w:val="22"/>
        </w:rPr>
        <w:t>÷3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). Ponadto zgodnie z art. 13a ust 5 ustawy o planowaniu i</w:t>
      </w:r>
      <w:r w:rsidR="00E63A9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zagospodarowaniu przestrzennym (</w:t>
      </w:r>
      <w:r w:rsidR="00762C41">
        <w:rPr>
          <w:rFonts w:ascii="Arial" w:hAnsi="Arial" w:cs="Arial"/>
          <w:bCs/>
          <w:color w:val="000000" w:themeColor="text1"/>
          <w:sz w:val="22"/>
          <w:szCs w:val="22"/>
        </w:rPr>
        <w:t xml:space="preserve">tekst jednolity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Dz.</w:t>
      </w:r>
      <w:r w:rsidR="00762C4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U.</w:t>
      </w:r>
      <w:r w:rsidR="00762C41">
        <w:rPr>
          <w:rFonts w:ascii="Arial" w:hAnsi="Arial" w:cs="Arial"/>
          <w:bCs/>
          <w:color w:val="000000" w:themeColor="text1"/>
          <w:sz w:val="22"/>
          <w:szCs w:val="22"/>
        </w:rPr>
        <w:t xml:space="preserve"> z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202</w:t>
      </w:r>
      <w:r w:rsidR="00762C41">
        <w:rPr>
          <w:rFonts w:ascii="Arial" w:hAnsi="Arial" w:cs="Arial"/>
          <w:bCs/>
          <w:color w:val="000000" w:themeColor="text1"/>
          <w:sz w:val="22"/>
          <w:szCs w:val="22"/>
        </w:rPr>
        <w:t>4 r. poz. 1130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) decyzje </w:t>
      </w:r>
      <w:r w:rsidR="00762C41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o warunkach zabudowy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i zagospodarowania terenu dla obszarów nie pokrytych planami miejscowym będą mogły być wydawane jedynie w oparciu o plan ogólny</w:t>
      </w:r>
      <w:r w:rsidR="00B738FD">
        <w:rPr>
          <w:rFonts w:ascii="Arial" w:hAnsi="Arial" w:cs="Arial"/>
          <w:bCs/>
          <w:color w:val="000000" w:themeColor="text1"/>
          <w:sz w:val="22"/>
          <w:szCs w:val="22"/>
        </w:rPr>
        <w:t xml:space="preserve"> gminy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C87F71E" w14:textId="59F0DDC4" w:rsidR="00894A13" w:rsidRPr="00894A13" w:rsidRDefault="00894A13" w:rsidP="00E63A93">
      <w:pPr>
        <w:tabs>
          <w:tab w:val="left" w:pos="7176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Powyższe uwarunkowania prawne powodują, że przystąpienie do prac planistycznych nad sporządzeniem planu ogólnego jest niezbędne do prowadzenia polityki przestrzennej </w:t>
      </w:r>
      <w:r w:rsidR="00E63A93">
        <w:rPr>
          <w:rFonts w:ascii="Arial" w:hAnsi="Arial" w:cs="Arial"/>
          <w:bCs/>
          <w:color w:val="000000" w:themeColor="text1"/>
          <w:sz w:val="22"/>
          <w:szCs w:val="22"/>
        </w:rPr>
        <w:t>gminy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oraz płynności procesów inwestycyjnych.</w:t>
      </w:r>
    </w:p>
    <w:p w14:paraId="17200BF3" w14:textId="77777777" w:rsidR="00894A13" w:rsidRPr="00894A13" w:rsidRDefault="00894A13" w:rsidP="00894A13">
      <w:pPr>
        <w:pStyle w:val="Akapitzlist"/>
        <w:numPr>
          <w:ilvl w:val="0"/>
          <w:numId w:val="7"/>
        </w:numPr>
        <w:tabs>
          <w:tab w:val="left" w:pos="7176"/>
        </w:tabs>
        <w:spacing w:before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Ocena finansowych skutków regulacji</w:t>
      </w:r>
    </w:p>
    <w:p w14:paraId="437718C8" w14:textId="0B3AA3DC" w:rsidR="00894A13" w:rsidRDefault="00894A13" w:rsidP="00E63A93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Sporządzenie planu ogólnego </w:t>
      </w:r>
      <w:r w:rsidR="00B738FD">
        <w:rPr>
          <w:rFonts w:ascii="Arial" w:hAnsi="Arial" w:cs="Arial"/>
          <w:bCs/>
          <w:color w:val="000000" w:themeColor="text1"/>
          <w:sz w:val="22"/>
          <w:szCs w:val="22"/>
        </w:rPr>
        <w:t xml:space="preserve">gminy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należy do zadań własnych gminy.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Opracowanie p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rojekt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planu zostanie sfinansowane ze środków zarezerwowanych na ten cel w budżecie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gminy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B738FD">
        <w:rPr>
          <w:rFonts w:ascii="Arial" w:hAnsi="Arial" w:cs="Arial"/>
          <w:bCs/>
          <w:color w:val="000000" w:themeColor="text1"/>
          <w:sz w:val="22"/>
          <w:szCs w:val="22"/>
        </w:rPr>
        <w:t xml:space="preserve">Przewidziano możliwość ubiegania się o zwrot poniesionych kosztów po przyjęciu planu ogólnego gminy. Rząd przewiduje uruchomienie możliwości składania wniosków o refinansowanie w połowie 2024 r.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Przedmiotowa uchwala nie wywołuje innych skutków finansowych.</w:t>
      </w:r>
    </w:p>
    <w:p w14:paraId="63ACE099" w14:textId="5029176F" w:rsidR="00B738FD" w:rsidRPr="00894A13" w:rsidRDefault="00B738FD" w:rsidP="00E63A93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Brak przyjęcia w terminie do 31.12.2025 r. planu ogólnego gminy może wywołać skutki odszkodowawcze kierowane od </w:t>
      </w:r>
      <w:r w:rsidR="009E6C9A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nwestorów, którzy w wyniku bra</w:t>
      </w:r>
      <w:r w:rsidR="009E6C9A">
        <w:rPr>
          <w:rFonts w:ascii="Arial" w:hAnsi="Arial" w:cs="Arial"/>
          <w:bCs/>
          <w:color w:val="000000" w:themeColor="text1"/>
          <w:sz w:val="22"/>
          <w:szCs w:val="22"/>
        </w:rPr>
        <w:t>ku planu ogólnego gminy wykażą negatywne skutki dla swojej działalności (brak możliwości realizacji inwestycji).</w:t>
      </w:r>
    </w:p>
    <w:p w14:paraId="6689E92E" w14:textId="159EEBA1" w:rsidR="00111F41" w:rsidRDefault="00894A13" w:rsidP="00E63A93">
      <w:pPr>
        <w:tabs>
          <w:tab w:val="left" w:pos="7176"/>
        </w:tabs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W związku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z powyższym, przystąpienie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do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sporządzenia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>lanu ogólnego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gminy </w:t>
      </w:r>
      <w:r w:rsidR="00175AFB">
        <w:rPr>
          <w:rFonts w:ascii="Arial" w:hAnsi="Arial" w:cs="Arial"/>
          <w:bCs/>
          <w:color w:val="000000" w:themeColor="text1"/>
          <w:sz w:val="22"/>
          <w:szCs w:val="22"/>
        </w:rPr>
        <w:t>Czarna</w:t>
      </w:r>
      <w:r w:rsidRPr="00894A13">
        <w:rPr>
          <w:rFonts w:ascii="Arial" w:hAnsi="Arial" w:cs="Arial"/>
          <w:bCs/>
          <w:color w:val="000000" w:themeColor="text1"/>
          <w:sz w:val="22"/>
          <w:szCs w:val="22"/>
        </w:rPr>
        <w:t xml:space="preserve"> jest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4A13">
        <w:rPr>
          <w:rFonts w:ascii="Arial" w:hAnsi="Arial" w:cs="Arial"/>
          <w:b/>
          <w:bCs/>
          <w:color w:val="000000" w:themeColor="text1"/>
          <w:sz w:val="22"/>
          <w:szCs w:val="22"/>
        </w:rPr>
        <w:t>uzasadnione.</w:t>
      </w:r>
    </w:p>
    <w:p w14:paraId="55015D80" w14:textId="77777777" w:rsidR="00A23CB1" w:rsidRPr="0060541D" w:rsidRDefault="00A23CB1" w:rsidP="00E63A93">
      <w:pPr>
        <w:tabs>
          <w:tab w:val="left" w:pos="9639"/>
        </w:tabs>
        <w:ind w:right="283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A23CB1" w:rsidRPr="0060541D" w:rsidSect="00E63A93">
      <w:headerReference w:type="even" r:id="rId8"/>
      <w:headerReference w:type="first" r:id="rId9"/>
      <w:pgSz w:w="11906" w:h="16838"/>
      <w:pgMar w:top="992" w:right="1275" w:bottom="992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F83B3" w14:textId="77777777" w:rsidR="00F410F7" w:rsidRDefault="00F410F7" w:rsidP="009904D9">
      <w:r>
        <w:separator/>
      </w:r>
    </w:p>
  </w:endnote>
  <w:endnote w:type="continuationSeparator" w:id="0">
    <w:p w14:paraId="50AAFC35" w14:textId="77777777" w:rsidR="00F410F7" w:rsidRDefault="00F410F7" w:rsidP="0099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E41B" w14:textId="77777777" w:rsidR="00F410F7" w:rsidRDefault="00F410F7" w:rsidP="009904D9">
      <w:r>
        <w:separator/>
      </w:r>
    </w:p>
  </w:footnote>
  <w:footnote w:type="continuationSeparator" w:id="0">
    <w:p w14:paraId="0566C096" w14:textId="77777777" w:rsidR="00F410F7" w:rsidRDefault="00F410F7" w:rsidP="0099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5AE9E" w14:textId="77777777" w:rsidR="009904D9" w:rsidRDefault="00990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247B" w14:textId="77777777" w:rsidR="009904D9" w:rsidRDefault="00990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7A3"/>
    <w:multiLevelType w:val="hybridMultilevel"/>
    <w:tmpl w:val="A8D6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4AE7"/>
    <w:multiLevelType w:val="hybridMultilevel"/>
    <w:tmpl w:val="4BDCCE1E"/>
    <w:lvl w:ilvl="0" w:tplc="070A5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F56"/>
    <w:multiLevelType w:val="hybridMultilevel"/>
    <w:tmpl w:val="D0640EFA"/>
    <w:lvl w:ilvl="0" w:tplc="E7648FC2">
      <w:start w:val="2"/>
      <w:numFmt w:val="decimal"/>
      <w:lvlText w:val="%1."/>
      <w:lvlJc w:val="left"/>
      <w:pPr>
        <w:ind w:left="16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72CC77AC">
      <w:numFmt w:val="bullet"/>
      <w:lvlText w:val="•"/>
      <w:lvlJc w:val="left"/>
      <w:pPr>
        <w:ind w:left="2542" w:hanging="216"/>
      </w:pPr>
      <w:rPr>
        <w:rFonts w:hint="default"/>
        <w:lang w:val="pl-PL" w:eastAsia="en-US" w:bidi="ar-SA"/>
      </w:rPr>
    </w:lvl>
    <w:lvl w:ilvl="2" w:tplc="81A4F334">
      <w:numFmt w:val="bullet"/>
      <w:lvlText w:val="•"/>
      <w:lvlJc w:val="left"/>
      <w:pPr>
        <w:ind w:left="3465" w:hanging="216"/>
      </w:pPr>
      <w:rPr>
        <w:rFonts w:hint="default"/>
        <w:lang w:val="pl-PL" w:eastAsia="en-US" w:bidi="ar-SA"/>
      </w:rPr>
    </w:lvl>
    <w:lvl w:ilvl="3" w:tplc="A2A642D2">
      <w:numFmt w:val="bullet"/>
      <w:lvlText w:val="•"/>
      <w:lvlJc w:val="left"/>
      <w:pPr>
        <w:ind w:left="4388" w:hanging="216"/>
      </w:pPr>
      <w:rPr>
        <w:rFonts w:hint="default"/>
        <w:lang w:val="pl-PL" w:eastAsia="en-US" w:bidi="ar-SA"/>
      </w:rPr>
    </w:lvl>
    <w:lvl w:ilvl="4" w:tplc="F9AA98B0">
      <w:numFmt w:val="bullet"/>
      <w:lvlText w:val="•"/>
      <w:lvlJc w:val="left"/>
      <w:pPr>
        <w:ind w:left="5311" w:hanging="216"/>
      </w:pPr>
      <w:rPr>
        <w:rFonts w:hint="default"/>
        <w:lang w:val="pl-PL" w:eastAsia="en-US" w:bidi="ar-SA"/>
      </w:rPr>
    </w:lvl>
    <w:lvl w:ilvl="5" w:tplc="35D46FA6">
      <w:numFmt w:val="bullet"/>
      <w:lvlText w:val="•"/>
      <w:lvlJc w:val="left"/>
      <w:pPr>
        <w:ind w:left="6234" w:hanging="216"/>
      </w:pPr>
      <w:rPr>
        <w:rFonts w:hint="default"/>
        <w:lang w:val="pl-PL" w:eastAsia="en-US" w:bidi="ar-SA"/>
      </w:rPr>
    </w:lvl>
    <w:lvl w:ilvl="6" w:tplc="BE3C933A">
      <w:numFmt w:val="bullet"/>
      <w:lvlText w:val="•"/>
      <w:lvlJc w:val="left"/>
      <w:pPr>
        <w:ind w:left="7157" w:hanging="216"/>
      </w:pPr>
      <w:rPr>
        <w:rFonts w:hint="default"/>
        <w:lang w:val="pl-PL" w:eastAsia="en-US" w:bidi="ar-SA"/>
      </w:rPr>
    </w:lvl>
    <w:lvl w:ilvl="7" w:tplc="9A9827F4">
      <w:numFmt w:val="bullet"/>
      <w:lvlText w:val="•"/>
      <w:lvlJc w:val="left"/>
      <w:pPr>
        <w:ind w:left="8080" w:hanging="216"/>
      </w:pPr>
      <w:rPr>
        <w:rFonts w:hint="default"/>
        <w:lang w:val="pl-PL" w:eastAsia="en-US" w:bidi="ar-SA"/>
      </w:rPr>
    </w:lvl>
    <w:lvl w:ilvl="8" w:tplc="23D03528">
      <w:numFmt w:val="bullet"/>
      <w:lvlText w:val="•"/>
      <w:lvlJc w:val="left"/>
      <w:pPr>
        <w:ind w:left="9003" w:hanging="216"/>
      </w:pPr>
      <w:rPr>
        <w:rFonts w:hint="default"/>
        <w:lang w:val="pl-PL" w:eastAsia="en-US" w:bidi="ar-SA"/>
      </w:rPr>
    </w:lvl>
  </w:abstractNum>
  <w:abstractNum w:abstractNumId="3" w15:restartNumberingAfterBreak="0">
    <w:nsid w:val="4B386B55"/>
    <w:multiLevelType w:val="hybridMultilevel"/>
    <w:tmpl w:val="31669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B1FB7"/>
    <w:multiLevelType w:val="hybridMultilevel"/>
    <w:tmpl w:val="8054AD78"/>
    <w:lvl w:ilvl="0" w:tplc="42AE5E1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EB0304"/>
    <w:multiLevelType w:val="hybridMultilevel"/>
    <w:tmpl w:val="6EEA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A578F"/>
    <w:multiLevelType w:val="hybridMultilevel"/>
    <w:tmpl w:val="18CEEEDE"/>
    <w:lvl w:ilvl="0" w:tplc="77A2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0194">
    <w:abstractNumId w:val="3"/>
  </w:num>
  <w:num w:numId="2" w16cid:durableId="2087650878">
    <w:abstractNumId w:val="4"/>
  </w:num>
  <w:num w:numId="3" w16cid:durableId="20714609">
    <w:abstractNumId w:val="1"/>
  </w:num>
  <w:num w:numId="4" w16cid:durableId="1176577751">
    <w:abstractNumId w:val="6"/>
  </w:num>
  <w:num w:numId="5" w16cid:durableId="1924097740">
    <w:abstractNumId w:val="2"/>
  </w:num>
  <w:num w:numId="6" w16cid:durableId="613246199">
    <w:abstractNumId w:val="0"/>
  </w:num>
  <w:num w:numId="7" w16cid:durableId="260650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FA"/>
    <w:rsid w:val="000222F7"/>
    <w:rsid w:val="00033C22"/>
    <w:rsid w:val="000461E7"/>
    <w:rsid w:val="000C4738"/>
    <w:rsid w:val="000F2245"/>
    <w:rsid w:val="001038F3"/>
    <w:rsid w:val="00111F41"/>
    <w:rsid w:val="00165D4F"/>
    <w:rsid w:val="00175AFB"/>
    <w:rsid w:val="001A13BA"/>
    <w:rsid w:val="001D2104"/>
    <w:rsid w:val="00233431"/>
    <w:rsid w:val="002470C3"/>
    <w:rsid w:val="002472C3"/>
    <w:rsid w:val="0026399B"/>
    <w:rsid w:val="00280B6C"/>
    <w:rsid w:val="002A4392"/>
    <w:rsid w:val="002D01E9"/>
    <w:rsid w:val="00301B75"/>
    <w:rsid w:val="00347D95"/>
    <w:rsid w:val="003630EC"/>
    <w:rsid w:val="00367CD6"/>
    <w:rsid w:val="0037528E"/>
    <w:rsid w:val="0037634D"/>
    <w:rsid w:val="003C58E8"/>
    <w:rsid w:val="003F0EC9"/>
    <w:rsid w:val="004127FB"/>
    <w:rsid w:val="004A53BB"/>
    <w:rsid w:val="004F1061"/>
    <w:rsid w:val="004F1488"/>
    <w:rsid w:val="005011F6"/>
    <w:rsid w:val="00527F1D"/>
    <w:rsid w:val="005A3BA0"/>
    <w:rsid w:val="005B3E9C"/>
    <w:rsid w:val="005B6765"/>
    <w:rsid w:val="005C6C1C"/>
    <w:rsid w:val="0060541D"/>
    <w:rsid w:val="006E75F3"/>
    <w:rsid w:val="0071601C"/>
    <w:rsid w:val="007253C2"/>
    <w:rsid w:val="00762C41"/>
    <w:rsid w:val="007C5591"/>
    <w:rsid w:val="008160C7"/>
    <w:rsid w:val="00836A78"/>
    <w:rsid w:val="00893EEE"/>
    <w:rsid w:val="00894A13"/>
    <w:rsid w:val="00895A8C"/>
    <w:rsid w:val="008D1347"/>
    <w:rsid w:val="009159E0"/>
    <w:rsid w:val="00947696"/>
    <w:rsid w:val="009668A5"/>
    <w:rsid w:val="00974E1B"/>
    <w:rsid w:val="009904D9"/>
    <w:rsid w:val="009937C7"/>
    <w:rsid w:val="009E6C9A"/>
    <w:rsid w:val="00A03635"/>
    <w:rsid w:val="00A23869"/>
    <w:rsid w:val="00A23CB1"/>
    <w:rsid w:val="00A31CF5"/>
    <w:rsid w:val="00A454CB"/>
    <w:rsid w:val="00A475D7"/>
    <w:rsid w:val="00A57CB2"/>
    <w:rsid w:val="00A8122D"/>
    <w:rsid w:val="00AE2D6F"/>
    <w:rsid w:val="00B66ED4"/>
    <w:rsid w:val="00B706FA"/>
    <w:rsid w:val="00B738FD"/>
    <w:rsid w:val="00B80639"/>
    <w:rsid w:val="00B96648"/>
    <w:rsid w:val="00BA7A7E"/>
    <w:rsid w:val="00C11033"/>
    <w:rsid w:val="00C7487B"/>
    <w:rsid w:val="00CC7056"/>
    <w:rsid w:val="00CD69F9"/>
    <w:rsid w:val="00D17EC8"/>
    <w:rsid w:val="00D75F12"/>
    <w:rsid w:val="00DA31AE"/>
    <w:rsid w:val="00DB0217"/>
    <w:rsid w:val="00E16AE6"/>
    <w:rsid w:val="00E33B4B"/>
    <w:rsid w:val="00E63A93"/>
    <w:rsid w:val="00E6651D"/>
    <w:rsid w:val="00E744D9"/>
    <w:rsid w:val="00E86949"/>
    <w:rsid w:val="00E961CA"/>
    <w:rsid w:val="00EB704D"/>
    <w:rsid w:val="00F1343B"/>
    <w:rsid w:val="00F410F7"/>
    <w:rsid w:val="00F43F16"/>
    <w:rsid w:val="00FB0407"/>
    <w:rsid w:val="00F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28B0FB"/>
  <w15:docId w15:val="{F3A42B92-2951-412C-9C24-B9A2E717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color w:val="000000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DA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86B8-2199-432A-AC11-38813E7D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UG</dc:creator>
  <cp:lastModifiedBy>Eliza Armatys</cp:lastModifiedBy>
  <cp:revision>2</cp:revision>
  <cp:lastPrinted>2024-08-22T08:13:00Z</cp:lastPrinted>
  <dcterms:created xsi:type="dcterms:W3CDTF">2024-08-22T09:39:00Z</dcterms:created>
  <dcterms:modified xsi:type="dcterms:W3CDTF">2024-08-22T09:39:00Z</dcterms:modified>
</cp:coreProperties>
</file>